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B75" w:rsidRDefault="006C1B7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C1B75" w:rsidRDefault="006C1B75">
      <w:pPr>
        <w:pStyle w:val="newncpi"/>
        <w:ind w:firstLine="0"/>
        <w:jc w:val="center"/>
      </w:pPr>
      <w:r>
        <w:rPr>
          <w:rStyle w:val="datepr"/>
        </w:rPr>
        <w:t>11 ноября 2025 г.</w:t>
      </w:r>
      <w:r>
        <w:rPr>
          <w:rStyle w:val="number"/>
        </w:rPr>
        <w:t xml:space="preserve"> № 620</w:t>
      </w:r>
    </w:p>
    <w:p w:rsidR="006C1B75" w:rsidRDefault="006C1B75">
      <w:pPr>
        <w:pStyle w:val="titlencpi"/>
      </w:pPr>
      <w:r>
        <w:t>Об установлении требований</w:t>
      </w:r>
    </w:p>
    <w:p w:rsidR="006C1B75" w:rsidRDefault="006C1B75">
      <w:pPr>
        <w:pStyle w:val="preamble"/>
      </w:pPr>
      <w:r>
        <w:t>На основании абзацев второго, четвертого части первой пункта 4 статьи 12 Закона Республики Беларусь от 8 января 2014 г. № 128-З «О государственном регулировании торговли и общественного питания» Ивьевский районный исполнительный комитет РЕШИЛ:</w:t>
      </w:r>
    </w:p>
    <w:p w:rsidR="006C1B75" w:rsidRDefault="006C1B75">
      <w:pPr>
        <w:pStyle w:val="point"/>
      </w:pPr>
      <w:r>
        <w:t>1. Установить:</w:t>
      </w:r>
    </w:p>
    <w:p w:rsidR="006C1B75" w:rsidRDefault="006C1B75">
      <w:pPr>
        <w:pStyle w:val="newncpi"/>
      </w:pPr>
      <w:r>
        <w:t>требования к внешнему виду и размерам нестационарных и передвижных торговых объектов и нестационарных и передвижных объектов общественного питания согласно приложению 1;</w:t>
      </w:r>
    </w:p>
    <w:p w:rsidR="006C1B75" w:rsidRDefault="006C1B75">
      <w:pPr>
        <w:pStyle w:val="newncpi"/>
      </w:pPr>
      <w:r>
        <w:t>требования к внешнему виду и размерам летних площадок (продолжений залов) согласно приложению 2.</w:t>
      </w:r>
    </w:p>
    <w:p w:rsidR="006C1B75" w:rsidRDefault="006C1B75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6C1B75" w:rsidRDefault="006C1B7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6C1B7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1B75" w:rsidRDefault="006C1B7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1B75" w:rsidRDefault="006C1B75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6C1B75" w:rsidRDefault="006C1B7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6C1B75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1B75" w:rsidRDefault="006C1B7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1B75" w:rsidRDefault="006C1B75">
            <w:pPr>
              <w:pStyle w:val="append1"/>
            </w:pPr>
            <w:r>
              <w:t>Приложение 1</w:t>
            </w:r>
          </w:p>
          <w:p w:rsidR="006C1B75" w:rsidRDefault="006C1B75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6C1B75" w:rsidRDefault="006C1B75">
            <w:pPr>
              <w:pStyle w:val="append"/>
            </w:pPr>
            <w:r>
              <w:t>11.11.2025 № 620</w:t>
            </w:r>
          </w:p>
        </w:tc>
      </w:tr>
    </w:tbl>
    <w:p w:rsidR="006C1B75" w:rsidRDefault="006C1B75">
      <w:pPr>
        <w:pStyle w:val="titlep"/>
        <w:jc w:val="left"/>
      </w:pPr>
      <w:r>
        <w:t>ТРЕБОВАНИЯ</w:t>
      </w:r>
      <w:r>
        <w:br/>
        <w:t>к внешнему виду и размерам нестационарных и передвижных торговых объектов и нестационарных и передвижных объектов общественного питания</w:t>
      </w:r>
    </w:p>
    <w:p w:rsidR="006C1B75" w:rsidRDefault="006C1B75">
      <w:pPr>
        <w:pStyle w:val="point"/>
      </w:pPr>
      <w:r>
        <w:t>1. Соответствие внешнего вида нестационарных и передвижных торговых объектов, нестационарных и передвижных объектов общественного питания (далее – нестационарные объекты) современным тенденциям архитектуры и дизайна.</w:t>
      </w:r>
    </w:p>
    <w:p w:rsidR="006C1B75" w:rsidRDefault="006C1B75">
      <w:pPr>
        <w:pStyle w:val="point"/>
      </w:pPr>
      <w:r>
        <w:t>2. Исключение влияния внешнего вида нестационарных объектов на изменение внешнего архитектурного облика сложившейся застройки, благоустройства и озеленения территории.</w:t>
      </w:r>
    </w:p>
    <w:p w:rsidR="006C1B75" w:rsidRDefault="006C1B75">
      <w:pPr>
        <w:pStyle w:val="point"/>
      </w:pPr>
      <w:r>
        <w:t>3. Обеспечение беспрепятственного движения пешеходов, велосипедистов, автомобильного транспорта.</w:t>
      </w:r>
    </w:p>
    <w:p w:rsidR="006C1B75" w:rsidRDefault="006C1B75">
      <w:pPr>
        <w:pStyle w:val="point"/>
      </w:pPr>
      <w:r>
        <w:t>4. Соответствие наружной рекламы, размещаемой на ограждающих конструкциях нестационарных объектов, торгово-технологическом оборудовании, требованиям законодательства о рекламе.</w:t>
      </w:r>
    </w:p>
    <w:p w:rsidR="006C1B75" w:rsidRDefault="006C1B75">
      <w:pPr>
        <w:pStyle w:val="point"/>
      </w:pPr>
      <w:r>
        <w:t>5. Использование в качестве ограждающих элементов конструкций нестационарных объектов материалов и оборудования, обеспечивающих безопасность при монтаже (демонтаже), а также на протяжении всего срока эксплуатации нестационарного объекта.</w:t>
      </w:r>
    </w:p>
    <w:p w:rsidR="006C1B75" w:rsidRDefault="006C1B75">
      <w:pPr>
        <w:pStyle w:val="point"/>
      </w:pPr>
      <w:r>
        <w:t>6. Использование в качестве материала каркаса нестационарных объектов металла, дерева (обработанного, окрашенного), композитных материалов и иных материалов, обеспечивающих надежность и соответствие стилистическому и колористическому решению фасадов рядом расположенных зданий.</w:t>
      </w:r>
    </w:p>
    <w:p w:rsidR="006C1B75" w:rsidRDefault="006C1B75">
      <w:pPr>
        <w:pStyle w:val="point"/>
      </w:pPr>
      <w:r>
        <w:t>7. Обеспечение доступного для маломобильных групп населения (в том числе физически ослабленных лиц) обслуживания, беспрепятственного доступа в нестационарный объект.</w:t>
      </w:r>
    </w:p>
    <w:p w:rsidR="006C1B75" w:rsidRDefault="006C1B75">
      <w:pPr>
        <w:pStyle w:val="point"/>
      </w:pPr>
      <w:r>
        <w:t>8. Соответствие габаритных размеров нестационарных объектов архитектурно-градостроительному решению окружающей застройки, особенностям благоустройства территории, на которой планируется их размещение, а также условиям безопасности.</w:t>
      </w:r>
    </w:p>
    <w:p w:rsidR="006C1B75" w:rsidRDefault="006C1B75">
      <w:pPr>
        <w:pStyle w:val="point"/>
      </w:pPr>
      <w:r>
        <w:t>9. Исключение размещения нестационарных объектов с заглублением ограждающих конструкций, каркаса в основание, на котором устанавливается нестационарный объект.</w:t>
      </w:r>
    </w:p>
    <w:p w:rsidR="006C1B75" w:rsidRDefault="006C1B75">
      <w:pPr>
        <w:pStyle w:val="point"/>
      </w:pPr>
      <w:r>
        <w:lastRenderedPageBreak/>
        <w:t>10. Обеспечение (создание условий для) свободного подъезда пожарной аварийно-спасательной техники к зданиям и сооружениям для эвакуации людей и ликвидации последствий чрезвычайных ситуаций природного и техногенного характера.</w:t>
      </w:r>
    </w:p>
    <w:p w:rsidR="006C1B75" w:rsidRDefault="006C1B75">
      <w:pPr>
        <w:pStyle w:val="point"/>
      </w:pPr>
      <w:r>
        <w:t>11. Обеспечение соблюдения правил в области торговли, санитарно-эпидемиологических, противопожарных требований, а также надлежащего состояния внешнего вида (надежности сооружения, исправности конструкций, систем инженерных коммуникаций) нестационарного объекта в течение всего периода его функционирования.</w:t>
      </w:r>
    </w:p>
    <w:p w:rsidR="006C1B75" w:rsidRDefault="006C1B75">
      <w:pPr>
        <w:pStyle w:val="point"/>
      </w:pPr>
      <w:r>
        <w:t>12. Размещение нескольких нестационарных объектов разных субъектов хозяйствования, расположенных в одном месте, в едином архитектурно-художественном стиле (единые по цвету и восприятию материалы конструкций, взаимоувязанное цветовое решение) с соблюдением единой линии размещения оборудования.</w:t>
      </w:r>
    </w:p>
    <w:p w:rsidR="006C1B75" w:rsidRDefault="006C1B75">
      <w:pPr>
        <w:pStyle w:val="point"/>
      </w:pPr>
      <w:r>
        <w:t>13. Соответствие нестационарного объекта эстетическим характеристикам (тип используемого оборудования, форма, параметры (размеры), пропорции, колористическое решение, масштаб и другое), стилистическому решению существующего фасада здания, рядом с которым расположен нестационарный объект.</w:t>
      </w:r>
    </w:p>
    <w:p w:rsidR="006C1B75" w:rsidRDefault="006C1B75">
      <w:pPr>
        <w:pStyle w:val="point"/>
      </w:pPr>
      <w:r>
        <w:t>14. Использование декоративного цветочного оформления (зеленые насаждения в кадках, ящиках, кашпо).</w:t>
      </w:r>
    </w:p>
    <w:p w:rsidR="006C1B75" w:rsidRDefault="006C1B75">
      <w:pPr>
        <w:pStyle w:val="point"/>
      </w:pPr>
      <w:r>
        <w:t>15. Организация технологического настила при размещении нестационарного объекта над газоном.</w:t>
      </w:r>
    </w:p>
    <w:p w:rsidR="006C1B75" w:rsidRDefault="006C1B75">
      <w:pPr>
        <w:pStyle w:val="point"/>
      </w:pPr>
      <w:r>
        <w:t>16. Нахождение внешних границ нестационарного объекта на расстоянии не менее 1,8 метра до деревьев, опор наружного освещения, других наземных элементов, установленных на тротуаре.</w:t>
      </w:r>
    </w:p>
    <w:p w:rsidR="006C1B75" w:rsidRDefault="006C1B75">
      <w:pPr>
        <w:pStyle w:val="point"/>
      </w:pPr>
      <w:r>
        <w:t>17. Размещение нестационарных объектов при наличии наружных эвакуационных и пожарных лестниц на расстоянии не менее 10 метров от них.</w:t>
      </w:r>
    </w:p>
    <w:p w:rsidR="006C1B75" w:rsidRDefault="006C1B75">
      <w:pPr>
        <w:pStyle w:val="point"/>
      </w:pPr>
      <w:r>
        <w:t>18. При размещении нестационарных объектов не допускается:</w:t>
      </w:r>
    </w:p>
    <w:p w:rsidR="006C1B75" w:rsidRDefault="006C1B75">
      <w:pPr>
        <w:pStyle w:val="newncpi"/>
      </w:pPr>
      <w:r>
        <w:t>ухудшение условий восприятия историко-культурных ценностей, в том числе создание препятствий для визуального восприятия их объемно-пространственных особенностей, элементов и деталей архитектурного декора;</w:t>
      </w:r>
    </w:p>
    <w:p w:rsidR="006C1B75" w:rsidRDefault="006C1B75">
      <w:pPr>
        <w:pStyle w:val="newncpi"/>
      </w:pPr>
      <w:r>
        <w:t>применение в наружной отделке ярких колеров, контрастных сочетаний;</w:t>
      </w:r>
    </w:p>
    <w:p w:rsidR="006C1B75" w:rsidRDefault="006C1B75">
      <w:pPr>
        <w:pStyle w:val="newncpi"/>
      </w:pPr>
      <w:r>
        <w:t>использование для облицовки ограждающих конструкций полиэтиленового пленочного покрытия, черепицы, металлочерепицы, рубероида, асбестоцементных листов, древесно-стружечных и ориентированно-стружечных плит;</w:t>
      </w:r>
    </w:p>
    <w:p w:rsidR="006C1B75" w:rsidRDefault="006C1B75">
      <w:pPr>
        <w:pStyle w:val="newncpi"/>
      </w:pPr>
      <w:r>
        <w:t>использование кирпича, строительных блоков и плит, монолитного бетона, железобетона;</w:t>
      </w:r>
    </w:p>
    <w:p w:rsidR="006C1B75" w:rsidRDefault="006C1B75">
      <w:pPr>
        <w:pStyle w:val="newncpi"/>
      </w:pPr>
      <w:r>
        <w:t>размещение опорных конструкций маркиз на фасаде зданий, выносных столиков на тротуарах вдоль фасадов зданий за пределами внешних поверхностей помещения, занимаемого стационарным объектом общественного питания;</w:t>
      </w:r>
    </w:p>
    <w:p w:rsidR="006C1B75" w:rsidRDefault="006C1B75">
      <w:pPr>
        <w:pStyle w:val="newncpi"/>
      </w:pPr>
      <w:r>
        <w:t>установление конструкций, наносящих ущерб историко-культурным ценностям, создающим угрозу повреждения элементов отделки, деталей, декора, мощения;</w:t>
      </w:r>
    </w:p>
    <w:p w:rsidR="006C1B75" w:rsidRDefault="006C1B75">
      <w:pPr>
        <w:pStyle w:val="newncpi"/>
      </w:pPr>
      <w:r>
        <w:t>крепление конструкций к фасадам памятников архитектуры;</w:t>
      </w:r>
    </w:p>
    <w:p w:rsidR="006C1B75" w:rsidRDefault="006C1B75">
      <w:pPr>
        <w:pStyle w:val="newncpi"/>
      </w:pPr>
      <w:r>
        <w:t>использование сплошных глухих ограждений и остекления высотой более 1,5 метра.</w:t>
      </w:r>
    </w:p>
    <w:p w:rsidR="006C1B75" w:rsidRDefault="006C1B7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6C1B75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1B75" w:rsidRDefault="006C1B7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1B75" w:rsidRDefault="006C1B75">
            <w:pPr>
              <w:pStyle w:val="append1"/>
            </w:pPr>
            <w:r>
              <w:t>Приложение 2</w:t>
            </w:r>
          </w:p>
          <w:p w:rsidR="006C1B75" w:rsidRDefault="006C1B75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6C1B75" w:rsidRDefault="006C1B75">
            <w:pPr>
              <w:pStyle w:val="append"/>
            </w:pPr>
            <w:r>
              <w:t>11.11.2025 № 620</w:t>
            </w:r>
          </w:p>
        </w:tc>
      </w:tr>
    </w:tbl>
    <w:p w:rsidR="006C1B75" w:rsidRDefault="006C1B75">
      <w:pPr>
        <w:pStyle w:val="titlep"/>
        <w:jc w:val="left"/>
      </w:pPr>
      <w:r>
        <w:t>ТРЕБОВАНИЯ</w:t>
      </w:r>
      <w:r>
        <w:br/>
        <w:t>к внешнему виду и размерам летних площадок (продолжений залов)</w:t>
      </w:r>
    </w:p>
    <w:p w:rsidR="006C1B75" w:rsidRDefault="006C1B75">
      <w:pPr>
        <w:pStyle w:val="point"/>
      </w:pPr>
      <w:r>
        <w:t>1. Использование в качестве ограждающих элементов конструкций летних площадок (продолжений залов) (далее – летние площадки) (стойки-опоры, покрытие, настилы, декоративные панели ограждения) материалов и оборудования, обеспечивающих безопасность при монтаже (демонтаже), а также на протяжении всего срока эксплуатации летней площадки.</w:t>
      </w:r>
    </w:p>
    <w:p w:rsidR="006C1B75" w:rsidRDefault="006C1B75">
      <w:pPr>
        <w:pStyle w:val="point"/>
      </w:pPr>
      <w:r>
        <w:lastRenderedPageBreak/>
        <w:t>2. Использование в качестве материала для летних площадок легковозводимого каркаса металла, дерева (обработанного, окрашенного), композитных материалов и иных материалов, обеспечивающих надежность и единство архитектурно-художественного стиля с существующей застройкой (единые по цвету и восприятию материалы конструкций, взаимоувязанное цветовое решение).</w:t>
      </w:r>
    </w:p>
    <w:p w:rsidR="006C1B75" w:rsidRDefault="006C1B75">
      <w:pPr>
        <w:pStyle w:val="point"/>
      </w:pPr>
      <w:r>
        <w:t>3. Исключение превышения по высоте устраиваемого элемента и его составных частей высоты первого этажа (проекции на фасаде линии перекрытия между первым и вторым этажами) капитального строения, к которому примыкает летняя площадка.</w:t>
      </w:r>
    </w:p>
    <w:p w:rsidR="006C1B75" w:rsidRDefault="006C1B75">
      <w:pPr>
        <w:pStyle w:val="point"/>
      </w:pPr>
      <w:r>
        <w:t>4. Обеспечение простого демонтажа декоративного ограждения летних площадок.</w:t>
      </w:r>
    </w:p>
    <w:p w:rsidR="006C1B75" w:rsidRDefault="006C1B75">
      <w:pPr>
        <w:pStyle w:val="point"/>
      </w:pPr>
      <w:r>
        <w:t>5. Соответствие декоративного ограждения летних площадок в зависимости от материалов требованиям по высоте:</w:t>
      </w:r>
    </w:p>
    <w:p w:rsidR="006C1B75" w:rsidRDefault="006C1B75">
      <w:pPr>
        <w:pStyle w:val="newncpi"/>
      </w:pPr>
      <w:r>
        <w:t xml:space="preserve">не более 0,6 метра от отметки пола (настила) либо покрытия тротуара (при отсутствии </w:t>
      </w:r>
      <w:proofErr w:type="gramStart"/>
      <w:r>
        <w:t>настила)*</w:t>
      </w:r>
      <w:proofErr w:type="gramEnd"/>
      <w:r>
        <w:t> – в непрозрачном исполнении, в том числе с применением зеленых насаждений в кадках, ящиках, кашпо;</w:t>
      </w:r>
    </w:p>
    <w:p w:rsidR="006C1B75" w:rsidRDefault="006C1B75">
      <w:pPr>
        <w:pStyle w:val="newncpi"/>
      </w:pPr>
      <w:r>
        <w:t>не более 1,3 метра от отметки пола (настила) либо покрытия тротуара (при отсутствии настила) – при исполнении в прозрачном материале (стекло, пластик, триплекс);</w:t>
      </w:r>
    </w:p>
    <w:p w:rsidR="006C1B75" w:rsidRDefault="006C1B75">
      <w:pPr>
        <w:pStyle w:val="newncpi"/>
      </w:pPr>
      <w:r>
        <w:t xml:space="preserve">общая высота декоративного ограждения с учетом конструкций настила не должна превышать 1,5 метра от отметки земли (покрытия </w:t>
      </w:r>
      <w:proofErr w:type="gramStart"/>
      <w:r>
        <w:t>тротуара)*</w:t>
      </w:r>
      <w:proofErr w:type="gramEnd"/>
      <w:r>
        <w:t>*.</w:t>
      </w:r>
    </w:p>
    <w:p w:rsidR="006C1B75" w:rsidRDefault="006C1B75">
      <w:pPr>
        <w:pStyle w:val="snoskiline"/>
      </w:pPr>
      <w:r>
        <w:t>______________________________</w:t>
      </w:r>
    </w:p>
    <w:p w:rsidR="006C1B75" w:rsidRDefault="006C1B75">
      <w:pPr>
        <w:pStyle w:val="snoski"/>
        <w:ind w:firstLine="567"/>
      </w:pPr>
      <w:r>
        <w:t>* Размер указан без учета высоты растений, применяемых в декорировании ограждения летних площадок, элементов вертикального озеленения.</w:t>
      </w:r>
    </w:p>
    <w:p w:rsidR="006C1B75" w:rsidRDefault="006C1B75">
      <w:pPr>
        <w:pStyle w:val="snoski"/>
        <w:spacing w:after="240"/>
        <w:ind w:firstLine="567"/>
      </w:pPr>
      <w:r>
        <w:t>** Размер указан без учета высоты подиума при его наличии.</w:t>
      </w:r>
    </w:p>
    <w:p w:rsidR="006C1B75" w:rsidRDefault="006C1B75">
      <w:pPr>
        <w:pStyle w:val="point"/>
      </w:pPr>
      <w:r>
        <w:t>6. Обеспечение при устройстве настила декоративной зашивки торцов, исключающей возможность попадания в пространство между основанием, на котором планируется размещение летних площадок, и настилом посторонних предметов, животных.</w:t>
      </w:r>
    </w:p>
    <w:p w:rsidR="006C1B75" w:rsidRDefault="006C1B75">
      <w:pPr>
        <w:pStyle w:val="point"/>
      </w:pPr>
      <w:r>
        <w:t>7. Устройство подиума высотой более 20 сантиметров в случаях необходимости обеспечения одинаковой отметки пола летней площадки и стационарного объекта общественного питания (при наличии крыльца перед входом в помещение стационарного объекта общественного питания).</w:t>
      </w:r>
    </w:p>
    <w:p w:rsidR="006C1B75" w:rsidRDefault="006C1B75">
      <w:pPr>
        <w:pStyle w:val="point"/>
      </w:pPr>
      <w:r>
        <w:t>8. Соблюдение требований законодательства о рекламе, размещаемой на летних площадках, зонтах, маркизах, декоративных ограждениях, торгово-технологическом оборудовании.</w:t>
      </w:r>
    </w:p>
    <w:p w:rsidR="006C1B75" w:rsidRDefault="006C1B75">
      <w:pPr>
        <w:pStyle w:val="point"/>
      </w:pPr>
      <w:r>
        <w:t>9. Сочетание цветового решения архитектурно-художественной стилистики и цветовой гаммы летних площадок, зонтов, маркиз, декоративных ограждений, торгово-технологического оборудования, дополнение архитектурно-художественного облика среды размещения.</w:t>
      </w:r>
    </w:p>
    <w:p w:rsidR="006C1B75" w:rsidRDefault="006C1B75">
      <w:pPr>
        <w:pStyle w:val="point"/>
      </w:pPr>
      <w:r>
        <w:t>10. Обеспечение беспрепятственного, доступного для маломобильных групп населения (в том числе физически ослабленных лиц) прохода в помещение объекта общественного питания, находящегося в капитальном строении, к которому примыкает летняя площадка, при размещении торгово-технологического оборудования, а также при устройстве настила (подиума), устройстве пандусов, размещение специальных тактильных и сигнальных маркировок.</w:t>
      </w:r>
    </w:p>
    <w:p w:rsidR="006C1B75" w:rsidRDefault="006C1B75">
      <w:pPr>
        <w:pStyle w:val="point"/>
      </w:pPr>
      <w:r>
        <w:t>11. Соответствие габаритных размеров летних площадок архитектурно-градостроительному решению окружающей застройки, особенностям благоустройства территории, на которой планируется размещение летних площадок, а также условиям безопасности.</w:t>
      </w:r>
    </w:p>
    <w:p w:rsidR="006C1B75" w:rsidRDefault="006C1B75">
      <w:pPr>
        <w:pStyle w:val="point"/>
      </w:pPr>
      <w:r>
        <w:t>12. Размещение летней площадки на тротуаре производится с учетом необходимости обеспечения беспрепятственного прохода для пешеходов, ширина площадки объекта не должна превышать 1/3 общей ширины тротуара при условии отсутствия на соответствующем участке тротуара малых архитектурных форм, опор наружного освещения, деревьев, других элементов благоустройства.</w:t>
      </w:r>
    </w:p>
    <w:p w:rsidR="006C1B75" w:rsidRDefault="006C1B75">
      <w:pPr>
        <w:pStyle w:val="point"/>
      </w:pPr>
      <w:r>
        <w:t>13. Свободная ширина прохода между крайними элементами летних площадок должна составлять:</w:t>
      </w:r>
    </w:p>
    <w:p w:rsidR="006C1B75" w:rsidRDefault="006C1B75">
      <w:pPr>
        <w:pStyle w:val="newncpi"/>
      </w:pPr>
      <w:r>
        <w:t>не менее 1,5 метра до опор наружного освещения, деревьев, обрамляющих объекты растительного мира элементов (решеток, защитных каркасов), малых архитектурных форм, других элементов благоустройства;</w:t>
      </w:r>
    </w:p>
    <w:p w:rsidR="006C1B75" w:rsidRDefault="006C1B75">
      <w:pPr>
        <w:pStyle w:val="newncpi"/>
      </w:pPr>
      <w:r>
        <w:lastRenderedPageBreak/>
        <w:t>не менее 2,0 метра до края проезжей части дороги при отсутствии газона между тротуаром и проезжей частью дороги.</w:t>
      </w:r>
    </w:p>
    <w:p w:rsidR="006C1B75" w:rsidRDefault="006C1B75">
      <w:pPr>
        <w:pStyle w:val="point"/>
      </w:pPr>
      <w:r>
        <w:t>14. Не допускается:</w:t>
      </w:r>
    </w:p>
    <w:p w:rsidR="006C1B75" w:rsidRDefault="006C1B75">
      <w:pPr>
        <w:pStyle w:val="newncpi"/>
      </w:pPr>
      <w:r>
        <w:t>нанесение ущерба фасадам зданий и сооружений, к которым примыкает летняя площадка, мощению при ведении работ по монтажу (демонтажу), иными техническими решениями по обустройству летних площадок, а также использованием торгово-технологического оборудования;</w:t>
      </w:r>
    </w:p>
    <w:p w:rsidR="006C1B75" w:rsidRDefault="006C1B75">
      <w:pPr>
        <w:pStyle w:val="newncpi"/>
      </w:pPr>
      <w:r>
        <w:t>заполнение пространства между элементами каркаса оконными и дверными блоками, бескаркасным остеклением, сплошными или фрагментарными зашивками металлическими и (или) сайдинг-панелями, иными материалами, изменяющими восприятие застройки (за исключением устройства декоративного ограждения);</w:t>
      </w:r>
    </w:p>
    <w:p w:rsidR="006C1B75" w:rsidRDefault="006C1B75">
      <w:pPr>
        <w:pStyle w:val="newncpi"/>
      </w:pPr>
      <w:r>
        <w:t>размещение элементов каркаса, летних площадок таким образом, при котором они частично или полностью будут перекрывать собой оконные и (или) дверные проемы, витражи;</w:t>
      </w:r>
    </w:p>
    <w:p w:rsidR="006C1B75" w:rsidRDefault="006C1B75">
      <w:pPr>
        <w:pStyle w:val="newncpi"/>
      </w:pPr>
      <w:r>
        <w:t>использование для облицовки летних площадок полиэтиленового пленочного покрытия, черепицы, металлочерепицы, металла, а также рубероида, асбестоцементных листов, древесно-стружечных и ориентированно-стружечных плит;</w:t>
      </w:r>
    </w:p>
    <w:p w:rsidR="006C1B75" w:rsidRDefault="006C1B75">
      <w:pPr>
        <w:pStyle w:val="newncpi"/>
      </w:pPr>
      <w:r>
        <w:t>устройство настилов, в том числе для необходимости выравнивания рельефа, высотой более 20 сантиметров, за исключением случаев устройства подиумов;</w:t>
      </w:r>
    </w:p>
    <w:p w:rsidR="006C1B75" w:rsidRDefault="006C1B75">
      <w:pPr>
        <w:pStyle w:val="newncpi"/>
      </w:pPr>
      <w:r>
        <w:t>заглубление ограждающих конструкций, каркаса, оборудования и ограждения в основание, на котором устраивается объект;</w:t>
      </w:r>
    </w:p>
    <w:p w:rsidR="006C1B75" w:rsidRDefault="006C1B75">
      <w:pPr>
        <w:pStyle w:val="newncpi"/>
      </w:pPr>
      <w:r>
        <w:t>использование кирпича, строительных блоков и плит, монолитного бетона, железобетона, стальных профилированных листов, баннерной ткани;</w:t>
      </w:r>
    </w:p>
    <w:p w:rsidR="006C1B75" w:rsidRDefault="006C1B75">
      <w:pPr>
        <w:pStyle w:val="newncpi"/>
      </w:pPr>
      <w:r>
        <w:t>использование тентовых павильонов;</w:t>
      </w:r>
    </w:p>
    <w:p w:rsidR="006C1B75" w:rsidRDefault="006C1B75">
      <w:pPr>
        <w:pStyle w:val="newncpi"/>
      </w:pPr>
      <w:r>
        <w:t>прокладка подземных инженерных коммуникаций и проведение строительно-монтажных работ капитального характера;</w:t>
      </w:r>
    </w:p>
    <w:p w:rsidR="006C1B75" w:rsidRDefault="006C1B75">
      <w:pPr>
        <w:pStyle w:val="newncpi"/>
      </w:pPr>
      <w:r>
        <w:t>ухудшение условий восприятия историко-культурных ценностей, в том числе создание препятствий для визуального восприятия их объемно-пространственных особенностей, элементов и деталей архитектурного декора.</w:t>
      </w:r>
    </w:p>
    <w:p w:rsidR="006C1B75" w:rsidRDefault="006C1B75">
      <w:pPr>
        <w:pStyle w:val="newncpi"/>
      </w:pPr>
      <w:r>
        <w:t> </w:t>
      </w:r>
    </w:p>
    <w:p w:rsidR="00EF32C1" w:rsidRDefault="00EF32C1"/>
    <w:sectPr w:rsidR="00EF32C1" w:rsidSect="005F68A5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B75"/>
    <w:rsid w:val="005B43B8"/>
    <w:rsid w:val="006C1B75"/>
    <w:rsid w:val="0086659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75E2D-1324-493A-9623-03543E17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C1B75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6C1B75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6C1B75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6C1B75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6C1B75"/>
    <w:pPr>
      <w:jc w:val="both"/>
    </w:pPr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6C1B75"/>
    <w:pPr>
      <w:jc w:val="both"/>
    </w:pPr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6C1B75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6C1B75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6C1B75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6C1B75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6C1B7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C1B7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C1B7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C1B7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C1B7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C1B7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1710</Words>
  <Characters>9749</Characters>
  <Application>Microsoft Office Word</Application>
  <DocSecurity>0</DocSecurity>
  <Lines>81</Lines>
  <Paragraphs>22</Paragraphs>
  <ScaleCrop>false</ScaleCrop>
  <Company/>
  <LinksUpToDate>false</LinksUpToDate>
  <CharactersWithSpaces>11437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2025-11-27T13:42:00Z</dcterms:created>
  <dcterms:modified xsi:type="dcterms:W3CDTF">2025-11-27T13:43:00Z</dcterms:modified>
</cp:coreProperties>
</file>